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d95e21930ab49bc" /></Relationships>
</file>

<file path=word/document.xml><?xml version="1.0" encoding="utf-8"?>
<w:document xmlns:w="http://schemas.openxmlformats.org/wordprocessingml/2006/main">
  <w:body>
    <w:tbl>
      <w:tblPr>
        <w:tblW w:w="9000" w:type="dxa"/>
        <w:tblBorders>
          <w:top w:val="nil"/>
          <w:bottom w:val="nil"/>
          <w:left w:val="nil"/>
          <w:right w:val="nil"/>
          <w:insideH w:val="nil"/>
          <w:insideV w:val="nil"/>
        </w:tblBorders>
        <w:tblCellSpacing w:w="60" w:type="dxa"/>
        <w:shd w:val="clear" w:color="auto" w:fill="E7F0F9"/>
      </w:tblPr>
      <w:tblGrid>
        <w:gridCol w:w="1200"/>
        <w:gridCol w:w="4500"/>
      </w:tblGrid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RKP broj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26514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Naziv obveznika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JAVNA USTANOVA PARK PRIRODE PAPUK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Razina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11</w:t>
            </w:r>
          </w:p>
        </w:tc>
      </w:tr>
    </w:tbl>
    <w:p>
      <w:r>
        <w:br/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BILJEŠKE UZ FINANCIJSKE IZVJEŠTAJE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ZA RAZDOBLJE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I - XII 2025.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prihodima i rashodima, primicima i izdacima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0" w:type="auto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1.383.391,00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1.991.914,98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144,0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POSLOVANJA (šifre 31+32+34+35+36+37+38)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1.334.624,34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1.517.064,47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113,7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PRIHODA POSLOVANJA (šifre 6-Z005)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48.766,66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474.850,51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973,7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prodaje nefinancijske imovine (šifre 71+72+73+74)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244,00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29.389,92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1.292.082,71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4396,3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OD NEFINANCIJSKE IMOVINE (šifre 4-7)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29.389,92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1.291.838,71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4395,5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Primici od financijske imovine i zaduživanja (šifre 81+82+83+84+85)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Izdaci za financijsku imovinu i otplate zajmova (šifre 51+52+53+54+55)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VIŠAK/MANJAK PRIMITAKA OD FINANCIJSKE IMOVINE I ZADUŽIVANJA (šifre 8-5, 5-8)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X003, Y003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I PRIMITAKA (šifre Y345-X678)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816.988,20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Ukupno ostvareni prihodi poslovanja u razdoblju I-XII  2025. godine iznose 1.991.914,98 EUR, a ukupni rashodi poslovanja iznose 1.517.064,47 EUR. Prihodi od prodaje nefinancijske imovine iznose 244,00 EUR dok rashodi za nabavu nefinancijske imovine iznose 1.292.082,71 EUR.</w:t>
      </w:r>
    </w:p>
    <w:p>
      <w:r>
        <w:t xml:space="preserve">Ukupan rezultat za 2025. godinu je manjak prihoda u iznosu 816.988,20 EUR.</w:t>
      </w:r>
    </w:p>
    <w:p>
      <w:r>
        <w:t xml:space="preserve">Preneseni manjak iz prethodne godine iznosi 26.206,69 EUR, tako da ukupni manjak za pokriće u sljedećem razdoblju iznosi 843.194,89 EUR.</w:t>
      </w:r>
    </w:p>
    <w:p>
      <w:r>
        <w:t xml:space="preserve"> </w:t>
      </w:r>
    </w:p>
    <w:p>
      <w:r>
        <w:br/>
      </w:r>
    </w:p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Bilanca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Neproizvedena dugotrajna imovina (šifre 011+012-019)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17.335,31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17.335,31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100</w:t>
            </w:r>
          </w:p>
        </w:tc>
      </w:tr>
    </w:tbl>
    <w:p>
      <w:pPr>
        <w:spacing w:before="0" w:after="0"/>
      </w:pPr>
    </w:p>
    <w:p>
      <w:r>
        <w:t xml:space="preserve">Neproizvedena dugotrajna imovina iznosi 17.335,31 EUR, a odnosi se na materijalnu imovinu, prirodna bogatstva - zemljište za Trg Geo-parkova u Velikoj te zemljište za Geo info centar u Voćinu i nematerijalnu imovinu – licence te u odnosu na prethodno razdoblje nije bilo promjene na ovoj vrsti imovine. 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Proizvedena dugotrajna imovina (šifre '021 i 02921' + '022 i 02922' + '023 i 02923' + '024 i 02924' + '025 i 02925' + '026 i 02926')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5.141.788,12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4.411.821,16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85,8</w:t>
            </w:r>
          </w:p>
        </w:tc>
      </w:tr>
    </w:tbl>
    <w:p>
      <w:pPr>
        <w:spacing w:before="0" w:after="0"/>
      </w:pPr>
    </w:p>
    <w:p>
      <w:r>
        <w:t xml:space="preserve">Proizvedena dugotrajna imovina iznosi 4.411.821,16 EUR, a odnosi se na proizvedenu dugotrajnu imovinu i to građevinske objekte, postrojenja i opremu, prijevozna sredstva te izložbene vrijednosti kao i nematerijalnu proizvedenu imovinu. U odnosu na isto razdoblje prethodne godine došlo je do smanjenja vrijednosti budući nije nabavljena neka značajna količina ove vrste imovine koja je u izvještajno razdoblju stavljena u upotrebu.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Sitni inventar i autogume (šifre 041+042-049)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Sitni inventar je 0,00 EUR; sitni inventar je sav u upotrebi, a to je iznos od 27.177,98 EUR. Iznos je povećan u odnosu na 2024. godinu jer je nabavljeno novog sitnog inventara.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Dugotrajna nefinancijska imovina u pripremi (šifre 051 do 056)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235.406,47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1.494.703,13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634,9</w:t>
            </w:r>
          </w:p>
        </w:tc>
      </w:tr>
    </w:tbl>
    <w:p>
      <w:pPr>
        <w:spacing w:before="0" w:after="0"/>
      </w:pPr>
    </w:p>
    <w:p>
      <w:r>
        <w:t xml:space="preserve">Dugotrajna nefinancijska imovina u pripremi iznosi 1.494.703,13 EUR, na ovoj pozicija u odnosu na 2024. godinu dolazni do značajne promjene u vrijednosti. Razlog tomu je najvećim dijelom je izgradnja novog posljetiteljskog centra u Slatinskom Drenovcu kroz projekt NPOO.C1.6.R1 - I1.01 - VI.0046 „Vrata Papuka“.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Proizvedena kratkotrajna imovina (šifre 061 do 065)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9.406,42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9.918,31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105,4</w:t>
            </w:r>
          </w:p>
        </w:tc>
      </w:tr>
    </w:tbl>
    <w:p>
      <w:pPr>
        <w:spacing w:before="0" w:after="0"/>
      </w:pPr>
    </w:p>
    <w:p>
      <w:r>
        <w:t xml:space="preserve">Proizvedena kratkotrajna imovina iznosi 9.918,31 EUR, a odnosi se na robu za daljnju prodaju (suveniri) te bilježi rast u odnosu na 2024. godinu.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Novac u banci i blagajni (šifre 111+112 do 114)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37.573,84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145.391,10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386,9</w:t>
            </w:r>
          </w:p>
        </w:tc>
      </w:tr>
    </w:tbl>
    <w:p>
      <w:pPr>
        <w:spacing w:before="0" w:after="0"/>
      </w:pPr>
    </w:p>
    <w:p>
      <w:r>
        <w:t xml:space="preserve">Novac u banci i blagajni  iznosi 145.391,10 EUR, a odnosi se na sredstva u banci u iznosu 145.307,80 EUR, sredstva u blagajni u iznosu 83,30 EUR. Ova pozicija bilježi povećanje u 2025. godini u odnosu na 2024. godinu. Razlog tomu su uplaćena zajednička sredstva parkova za fianciranje projekta Vrata Papuka u iznosu 107.596,56 EUR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Potraživanja za jamčevne pologe, od zaposlenih te za više plaćene poreze i ostalo (šifre 122 do 124 - 125 + 129)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21.222,61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51.277,65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241,6</w:t>
            </w:r>
          </w:p>
        </w:tc>
      </w:tr>
    </w:tbl>
    <w:p>
      <w:pPr>
        <w:spacing w:before="0" w:after="0"/>
      </w:pPr>
    </w:p>
    <w:p>
      <w:r>
        <w:t xml:space="preserve">Potraživanja za jamčevne pologe, od zaposlenih te za više plaćene poreze i ostalo iznose 51.277,65 EUR te bilježe ukupno povećanje u odnosu na 2024. godinu i to zbog potraživanja za porez na dodanu vrijednost u iznosu   43.709,44 EUR.</w:t>
      </w:r>
    </w:p>
    <w:p>
      <w:r>
        <w:t xml:space="preserve">Jamčevni polozi iznose 662,50 EUR i služe kao osiguranje za uredno izvršenje ugovora sklopljenog sa Hrvatskim šumama d.d. vezano za najam ureda u Voćinu za potrebe Uprave. </w:t>
      </w:r>
    </w:p>
    <w:p>
      <w:r>
        <w:t xml:space="preserve">Potraživanja od zaposlenih iznose 650,00 EUR za zadužene pologe po blagajnama, kao i ostala potraživanja u iznosu 6.255,71 EUR (koja se odnose na potraživanja od HZZO-a za bolovanja u ukupnom iznosu 4.456,02 EUR kao i potraživanja za predujmove 1.799,69 EUR).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Potraživanja za prihode poslovanja (šifre 161 do 163 + 164 do 168-169)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1.671,75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3.673,06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219,7</w:t>
            </w:r>
          </w:p>
        </w:tc>
      </w:tr>
    </w:tbl>
    <w:p>
      <w:pPr>
        <w:spacing w:before="0" w:after="0"/>
      </w:pPr>
    </w:p>
    <w:p>
      <w:r>
        <w:t xml:space="preserve">traživanja za prihode poslovanja iznose 3.673,06EUR, a odnosi se na potraživanja za više plaćeni porez, potraživanja za usluge i potraživanja od kartičnih kuća.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Obveze (šifre 23+24+25+26+27+29)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93.184,79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1.050.012,00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1126,8</w:t>
            </w:r>
          </w:p>
        </w:tc>
      </w:tr>
    </w:tbl>
    <w:p>
      <w:pPr>
        <w:spacing w:before="0" w:after="0"/>
      </w:pPr>
    </w:p>
    <w:p>
      <w:r>
        <w:t xml:space="preserve">Obveze iznose ukupno 1.050.012,00 EUR, a odnose se na obveze za zaposlene u iznosu 77.344,11 EUR (plaća za prosinac 2025. godine), obveze za materijalne rashode u iznosu 49.855,48 EUR (režijski troškovi i ostale obveze za materijalne rashode iz prosinca 2025. godine) 6.365,82 EUR obveza za nefinancijsku imovinu., obveze za financijske rashode u iznosu 214,59 EUR (usluge banke za vođenje računa za prosinac 2025. godine), ostale tekuće obveze u iznosu 12,10 EUR, porez na potrošnju.</w:t>
      </w:r>
    </w:p>
    <w:p>
      <w:r>
        <w:t xml:space="preserve">Na šifri 27 nalazi se predujam Ministarstva turizma za projekt Vrata Papauka u iznosu 899.962,29. Obveze za predujmove u iznosu 1.270,650 EUR. Obveze za jamčevne pologe 14.936,56 EUR. Ostalo su obveze za napojnice i turističku pristojbu.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9222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Manjak prihoda i primitaka (šifre 92221 do 92223)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9222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63.528,35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843.194,89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1327,3</w:t>
            </w:r>
          </w:p>
        </w:tc>
      </w:tr>
    </w:tbl>
    <w:p>
      <w:pPr>
        <w:spacing w:before="0" w:after="0"/>
      </w:pPr>
    </w:p>
    <w:p>
      <w:r>
        <w:t xml:space="preserve">Ukupni manjak prihoda financiran je pedujmom Ministarstva turizma za projekt NPOO.C1.6.R1 - I1.01 - VI.0046 „Vrata Papuka“.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92221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Manjak prihoda poslovanja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92221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89.126,35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Manjak prihoda poslovanja iznosi 89.126,35  EUR nakon korekcije rezulata za kapitalne prihode.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92222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Manjak prihoda od nefinancijske imovine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92222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63.528,35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754.068,54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1187,0</w:t>
            </w:r>
          </w:p>
        </w:tc>
      </w:tr>
    </w:tbl>
    <w:p>
      <w:pPr>
        <w:spacing w:before="0" w:after="0"/>
      </w:pPr>
    </w:p>
    <w:p>
      <w:r>
        <w:t xml:space="preserve">Manjak prihoda od nefinancijske imovine iznosi 754.068,54 EUR.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996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Izvanbilančni zapisi - pasiva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996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199.052,99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4.302.168,09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2161,3</w:t>
            </w:r>
          </w:p>
        </w:tc>
      </w:tr>
    </w:tbl>
    <w:p>
      <w:pPr>
        <w:spacing w:before="0" w:after="0"/>
      </w:pPr>
    </w:p>
    <w:p>
      <w:r>
        <w:t xml:space="preserve">Izvanbilančni zapisi aktiva/pasiva iznose 4.302.168,09 EUR, a odnose se na: imovinu dobivenu na korištenje od MINGOR-a u Službu čuvara prirode u iznosu 5.069,61 EUR, prikolice dobivene na korištenje od PP Medvednica u iznosu 6.368,57 EUR, roštilje na Jankovcu dobivene na korištenje od TZ Općine Čačinci u iznosu 5.851,09 EUR, 879,29 EUR posudbe građe iz Muzeja, instrumente osiguranja  zadužnice u iznosu 105.944,60 te bankarske garancije u iznosu 278.850,99 EUR , preuzete obveze po ugvoorima 1.639.025,70 EUR, potraživanja po ugovorima ze EU sredstva 2.253.542,10 EUR.</w:t>
      </w:r>
    </w:p>
    <w:p>
      <w:r>
        <w:t xml:space="preserve">Sudski sporovi u tijeku odnosi se na spor vezan za nekretninu na kč.br. 2364/1 k.o. Velika - livada u Velikoj čija potencijalna obveza iznosi 6.636,14 EUR sa pretpostavkom eventualnog odljeva budući je postupak privremeno obustavljen do trenutka rješavanja drugog spora o utvrđivanju prava vlasništva.</w:t>
      </w:r>
    </w:p>
    <w:p>
      <w:r>
        <w:t xml:space="preserve">Izvanbilančna evidencija bilježi povećanje u odnosu na 2024. godinu zbog primljenih bankovnih garancija i zadužnica, a najviše zbog evidentiranja ugovora o kupnji roba usluga i radova u izvanbilančnim zapisima i za evidentiranja Ugovora o dodjeli bespovratnih sredstava NPOO.C1.6.R1 - I1.01 - VI.0046 „Vrata Papuka“.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obvezama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dospjelih obveza na kraju izvještajnog razdoblja (šifre V008+D23+D24 + 'D dio 25,26' + D27)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5,14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Račun za nakandu za kartično plaćanje, zatvaranje u 2026. godini po obračunu.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16.</w:t>
      </w:r>
    </w:p>
    <w:p>
      <w:pPr>
        <w:jc w:val="both"/>
        <w:pStyle w:val="Normal"/>
        <w:spacing w:line="240" w:lineRule="auto"/>
      </w:pPr>
      <w:r>
        <w:rPr>
          <w:b/>
          <w:sz w:val="24"/>
          <w:rFonts w:ascii="Times New Roman" w:hAnsi="Times New Roman"/>
        </w:rPr>
        <w:t xml:space="preserve">EU izvještaj</w:t>
      </w:r>
    </w:p>
    <w:p>
      <w:r>
        <w:t xml:space="preserve">EU izvještaj po izvorima prikazuje projekt izgradnja novog posjetiteljskog centra u Slatinskom Drenovcu kroz projekt NPOO.C1.6.R1 - I1.01 - VI.0046 „Vrata Papuka“.</w:t>
      </w:r>
    </w:p>
    <w:p>
      <w:r>
        <w:t xml:space="preserve">Ukupni prihodi po projektu iznose 402.110,26 EUR.</w:t>
      </w:r>
    </w:p>
    <w:p>
      <w:r>
        <w:t xml:space="preserve">Rashodi poslovanja iznose 100.060,57 EUR a odnose se na materijalne rashode i rashode za usluge.</w:t>
      </w:r>
    </w:p>
    <w:p>
      <w:r>
        <w:t xml:space="preserve">Rashodi za nabavu nefinancijske imovine iznose 1.216.676,85 EU. Rashodima za nabavu proizvedene dugotrajne imovine pripada 159.940,60 EUR (oprema i električni bicikli). Rashodi za dodatna ulaganja na nefinancijskoj imovini iznose 1.056.736,25 EUR.</w:t>
      </w:r>
    </w:p>
    <w:p>
      <w:r>
        <w:t xml:space="preserve">Manjak prihoda financiran je predujmom Ministarstva turizma u iznosu 899.962,29 EUR.</w:t>
      </w:r>
    </w:p>
    <w:p>
      <w:r>
        <w:t xml:space="preserve">Potraživanja po ugovorima o dodijeljenim bespovratnim sredstvima iznosi 2.253.542,10 EUR.</w:t>
      </w:r>
    </w:p>
    <w:p/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</w:rPr>
    </w:rPrDefault>
  </w:docDefaults>
  <w:style w:type="paragraph" w:styleId="Normal" w:default="true">
    <w:name w:val="Normal"/>
    <w:rPr>
      <w:rFonts w:ascii="Times New Roman" w:hAnsi="Times New Roman"/>
      <w:sz w:val="24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ec58cedd95554efe" /></Relationships>
</file>